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21"/>
        </w:tabs>
        <w:spacing w:before="156" w:beforeLines="50" w:after="156" w:afterLines="50" w:line="560" w:lineRule="exact"/>
        <w:jc w:val="center"/>
        <w:rPr>
          <w:rFonts w:hint="eastAsia" w:ascii="仿宋" w:hAnsi="仿宋" w:eastAsia="仿宋" w:cs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深圳市宝建投智能科技有限公司</w:t>
      </w:r>
    </w:p>
    <w:p>
      <w:pPr>
        <w:tabs>
          <w:tab w:val="left" w:pos="1521"/>
        </w:tabs>
        <w:spacing w:before="156" w:beforeLines="50" w:after="156" w:afterLines="50" w:line="560" w:lineRule="exact"/>
        <w:jc w:val="center"/>
        <w:rPr>
          <w:rFonts w:hint="eastAsia" w:ascii="仿宋" w:hAnsi="仿宋" w:eastAsia="仿宋" w:cs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仿宋" w:hAnsi="仿宋" w:eastAsia="仿宋" w:cs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为了提升突发事件现场处置、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三防现场处置等工作实效，需采购执法记录仪及布控球等设备。具体要求如下：</w:t>
      </w:r>
    </w:p>
    <w:p>
      <w:pPr>
        <w:pStyle w:val="4"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一、服务范围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包括5G执法记录仪、5G布控球和设备流量费。</w:t>
      </w:r>
    </w:p>
    <w:p>
      <w:pPr>
        <w:pStyle w:val="4"/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需求如下：</w:t>
      </w:r>
    </w:p>
    <w:tbl>
      <w:tblPr>
        <w:tblStyle w:val="8"/>
        <w:tblpPr w:leftFromText="180" w:rightFromText="180" w:vertAnchor="page" w:horzAnchor="page" w:tblpX="1786" w:tblpY="7101"/>
        <w:tblOverlap w:val="never"/>
        <w:tblW w:w="905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48"/>
        <w:gridCol w:w="3011"/>
        <w:gridCol w:w="1455"/>
        <w:gridCol w:w="1514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30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规格/型号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5G执法记录仪</w:t>
            </w:r>
          </w:p>
        </w:tc>
        <w:tc>
          <w:tcPr>
            <w:tcW w:w="301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 w:bidi="ar-SA"/>
              </w:rPr>
              <w:t>榕桑DSJ-PE670A1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26台</w:t>
            </w:r>
          </w:p>
        </w:tc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5G布控球</w:t>
            </w:r>
          </w:p>
        </w:tc>
        <w:tc>
          <w:tcPr>
            <w:tcW w:w="301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 w:bidi="ar-SA"/>
              </w:rPr>
              <w:t>榕桑RS-HD-TW10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设备流量费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（包年套餐）</w:t>
            </w:r>
          </w:p>
        </w:tc>
        <w:tc>
          <w:tcPr>
            <w:tcW w:w="301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lang w:val="en-US" w:eastAsia="zh-CN" w:bidi="ar-SA"/>
              </w:rPr>
              <w:t>5G流量，40G/月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28个</w:t>
            </w:r>
          </w:p>
        </w:tc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2"/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注：需配套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智慧调度系统平台进行连接，实现可视化实时调度。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质量标准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乙方需遵循采购文件及合同约定的内容及要求提供安全可靠、质量稳定的设备及配套系统平台。合同签订后，乙方需在10天内完成生产和发货；到货后，需在3天内完成调试，确保能够正常使用。乙方需向甲方提供售后服务，协助甲方处理使用过程中遇到的问题。</w:t>
      </w:r>
    </w:p>
    <w:sectPr>
      <w:footerReference r:id="rId3" w:type="default"/>
      <w:pgSz w:w="11906" w:h="16838"/>
      <w:pgMar w:top="1723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598CF"/>
    <w:multiLevelType w:val="singleLevel"/>
    <w:tmpl w:val="07A598C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lMTY5ZGI4ZGUyNTgzOGJjMDU1NGIzMWY0YTAwZDAifQ=="/>
  </w:docVars>
  <w:rsids>
    <w:rsidRoot w:val="00E038EF"/>
    <w:rsid w:val="000632E2"/>
    <w:rsid w:val="0009063B"/>
    <w:rsid w:val="000D181E"/>
    <w:rsid w:val="00105AD0"/>
    <w:rsid w:val="00112426"/>
    <w:rsid w:val="0023283C"/>
    <w:rsid w:val="00281865"/>
    <w:rsid w:val="003A3EA7"/>
    <w:rsid w:val="003F65FA"/>
    <w:rsid w:val="004E4389"/>
    <w:rsid w:val="00511B66"/>
    <w:rsid w:val="00527F4C"/>
    <w:rsid w:val="005C4715"/>
    <w:rsid w:val="005F55E2"/>
    <w:rsid w:val="006C2258"/>
    <w:rsid w:val="007C63B0"/>
    <w:rsid w:val="008D3994"/>
    <w:rsid w:val="008F26B9"/>
    <w:rsid w:val="009B35F6"/>
    <w:rsid w:val="009E7DC3"/>
    <w:rsid w:val="00A63250"/>
    <w:rsid w:val="00A91AD2"/>
    <w:rsid w:val="00B6728B"/>
    <w:rsid w:val="00BE6E0E"/>
    <w:rsid w:val="00D076F3"/>
    <w:rsid w:val="00DC50E9"/>
    <w:rsid w:val="00E038EF"/>
    <w:rsid w:val="00E86943"/>
    <w:rsid w:val="00FE3042"/>
    <w:rsid w:val="01097EBC"/>
    <w:rsid w:val="09847929"/>
    <w:rsid w:val="0EE62CD0"/>
    <w:rsid w:val="0F195CD1"/>
    <w:rsid w:val="101547DD"/>
    <w:rsid w:val="13145D33"/>
    <w:rsid w:val="14480E52"/>
    <w:rsid w:val="151643DF"/>
    <w:rsid w:val="1DCB6118"/>
    <w:rsid w:val="1F8E6353"/>
    <w:rsid w:val="20A67B9D"/>
    <w:rsid w:val="2A4B5BE2"/>
    <w:rsid w:val="2A585CB7"/>
    <w:rsid w:val="2F4870AA"/>
    <w:rsid w:val="34A252E0"/>
    <w:rsid w:val="39681787"/>
    <w:rsid w:val="3CD106DB"/>
    <w:rsid w:val="41D51A22"/>
    <w:rsid w:val="421F0200"/>
    <w:rsid w:val="46F02B61"/>
    <w:rsid w:val="48ED1CE0"/>
    <w:rsid w:val="526145AB"/>
    <w:rsid w:val="527E45E2"/>
    <w:rsid w:val="52FC4D3E"/>
    <w:rsid w:val="61546E2A"/>
    <w:rsid w:val="61645C98"/>
    <w:rsid w:val="645A30BE"/>
    <w:rsid w:val="665E5A04"/>
    <w:rsid w:val="678B21FE"/>
    <w:rsid w:val="68692332"/>
    <w:rsid w:val="6B40388D"/>
    <w:rsid w:val="6D8B77FC"/>
    <w:rsid w:val="6F152488"/>
    <w:rsid w:val="6F9D09A5"/>
    <w:rsid w:val="72073D4D"/>
    <w:rsid w:val="72E33353"/>
    <w:rsid w:val="744A37ED"/>
    <w:rsid w:val="757A09A0"/>
    <w:rsid w:val="780E778E"/>
    <w:rsid w:val="7C16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4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纯文本 字符"/>
    <w:basedOn w:val="9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标题 1 字符"/>
    <w:basedOn w:val="9"/>
    <w:link w:val="3"/>
    <w:qFormat/>
    <w:uiPriority w:val="0"/>
    <w:rPr>
      <w:rFonts w:ascii="黑体" w:hAnsi="Calibri" w:eastAsia="黑体" w:cs="Times New Roman"/>
      <w:kern w:val="0"/>
      <w:sz w:val="52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tencent</Company>
  <Pages>1</Pages>
  <Words>308</Words>
  <Characters>338</Characters>
  <Lines>38</Lines>
  <Paragraphs>10</Paragraphs>
  <TotalTime>1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2023-03-02T07:53:00Z</dcterms:created>
  <dc:creator>hr</dc:creator>
  <cp:lastModifiedBy>Leung</cp:lastModifiedBy>
  <cp:lastPrinted>2023-03-02T03:28:00Z</cp:lastPrinted>
  <dcterms:modified xsi:type="dcterms:W3CDTF">2023-07-28T09:48:22Z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0320CADBDDEA44CCA3E76674FC3AF2BB</vt:lpwstr>
  </property>
</Properties>
</file>