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keepNext w:val="0"/>
        <w:keepLines w:val="0"/>
        <w:pageBreakBefore w:val="0"/>
        <w:widowControl w:val="0"/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内部控制体系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咨询服务项目需求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根据集团搭建内控体系的工作规划，公司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搭建一套以风险管理为导向、源头治理和过程控制为核心的内部控制管理体系，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促进企业健康发展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需采购内部控制体系建设咨询服务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具体要求如下：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32"/>
          <w:szCs w:val="32"/>
        </w:rPr>
        <w:t>严格执行国家有关法律法规和《企业内部控制基本规范》及《企业内部控制配套指引》，结合公司实际情况，涵盖内部环境、风险评估、控制活动、信息与沟通和监督五部分内容，具体包括但不限于以下业务：组织架构、发展战略、人力资源、企业文化、社会责任、资金管理、采购活动、资产管理、销售活动、研究与开发、工程项目、担保业务、业务外包、财务报告、全面预算、成本控制、招投标活动、合同管理、安全生产、行政事务、内部监督、信息系统等其他相关业务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二、项目进度和内容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6"/>
        <w:gridCol w:w="473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764" w:type="pct"/>
            <w:vAlign w:val="center"/>
          </w:tcPr>
          <w:p>
            <w:pPr>
              <w:ind w:right="-359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项目阶段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ind w:right="-359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预计时间</w:t>
            </w: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项目内容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需提交的成果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阶段一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内控诊断调研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1个月</w:t>
            </w: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针对企业内部控制现状进行梳理、分析与评价，提出内控体系设计存在的问题，形成内控现状评估报告和相应的管理建议书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内控现状评估报告、管理建议书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64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阶段二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内控体系建设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1.明确公司各部门职能定位；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2.明确公司职能部门与建投集团在管理事项和业务事项上的权责划分；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3.梳理各岗位工作职责和主要工作内容；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4.编制《组织管理手册》，包括组织及部门机构设置、部门职责说明、岗位职责说明等。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组织管理手册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64" w:type="pct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1.明确公司职能部门与建投集团在各项业务管控设计的接口程序、遵循事项、例外事项；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2.设计风险对应的关键控制点以及控制标准，明确业务流、资金流、数据流各节点流程活动、控制措施及控制文档，并充分考虑可行性；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3.明确业务事项及管理事项的审批节点及审批责任；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4.编制《内部控制管理手册》，涵盖内部环境、风险评估、控制活动、信息与沟通和内部监督五部分内容，主要包括各类业务业务流程目录、总体控制目标、总体控制原则、流程图、流程说明、控制矩阵等。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内部控制管理手册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64" w:type="pct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1.合理设计授权层级，包括各级企业授权和各项业务流程授权，兼顾控制效果和效率；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2.合理分配权力、责任，关键事项权限分配不重不漏；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3.做到不相容职责分离等；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4.编制《授权管理手册》，包括各级企业和各项业务的授权管理。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授权管理手册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4" w:type="pct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1.结合前期组织管理设计、流程控制设计，形成公司制度管理框架；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2.围绕业务事项，明确事项的管理原则、管理范围、管理机构与管理责任、管理办法、管理监督与相关责任追究；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3.编制《内部控制制度手册》，讨论、修订，并与《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内部控制管理手册》印证相符性。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内部控制制度手册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764" w:type="pct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系统收集公司各类风险事件信息，识别出与公司战略目标相关的内部风险和外部风险，依托风险评估工具和规范的评估程序，评估出企业重大及优先控制风险。主要形成公司、业务层面风险事件数据库、重大风险评估报告、重大风险全面解决方案、风险预警指标等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风险管理手册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764" w:type="pct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1.推动公司落实内部控制管理机构及评价机构责任；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2.讨论、确认内控管理、内控评价的工作办法及相关程序、工作底稿；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3.针对控制矩阵中各项控制措施，设计每项措施的检查步骤和检查内容；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4.汇总编制《内部控制评价手册》，包括内控评价检查办法和检查底稿等，指导内部审计或评价部门对内部控制管理运行情况进行评价。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内部控制评价手册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阶段三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内控体系运行宣贯和指导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2777" w:type="pct"/>
            <w:shd w:val="clear" w:color="auto" w:fill="auto"/>
            <w:vAlign w:val="center"/>
          </w:tcPr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1.体系培训（试运行首月）</w:t>
            </w:r>
          </w:p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根据标准化的内部控制制度和手册，对相关人员开展系统性培训，帮助员工尽快适应。</w:t>
            </w:r>
          </w:p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2.运行督导（试运行期间，约6个月）</w:t>
            </w:r>
          </w:p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提供体系成果应用的售后服务，每个月至少2次到现场进行咨询和辅导，对相关人员使用成果物过程中的疑问进行解答，提供指导意见。</w:t>
            </w:r>
          </w:p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3.体系再评估（试运行结束后3个月）</w:t>
            </w:r>
          </w:p>
          <w:p>
            <w:pPr>
              <w:spacing w:before="241" w:after="24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体系试运行后安排2~3个月正式运行期，对正式运行情况进行复查和评估，提出执行不到位的问题点。</w:t>
            </w:r>
          </w:p>
        </w:tc>
        <w:tc>
          <w:tcPr>
            <w:tcW w:w="902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after="156" w:afterLines="50"/>
              <w:ind w:left="36" w:hanging="141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内部控制体系成果培训材料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pStyle w:val="12"/>
              <w:numPr>
                <w:ilvl w:val="0"/>
                <w:numId w:val="0"/>
              </w:numPr>
              <w:spacing w:after="156" w:afterLines="50"/>
              <w:ind w:left="-105" w:leftChars="0"/>
              <w:contextualSpacing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三、工作成果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项目工作成果包括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但不限于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：内控现状评估报告、管理建议书、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组织管理手册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内部控制管理手册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授权管理手册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内部控制制度手册、风险管理手册、内部控制评价手册、内部控制体系成果培训材料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四、质量标准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在项目的合同期内，乙方需遵循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文件及合同约定的工作内容及要求完成各项咨询服务任务，确保各项工作成果符合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《企业内部控制基本规范》及《企业内部控制配套指引》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国家有关法律法规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及行业标准的要求，并切实符合甲方公司的实际情况。乙方对其提交的项目工作成果负责。乙方应按甲方要求分阶段提交成果报告，同时协助甲方开展内控体系建设落地实施工作。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五、商务要求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（一）服务期限：一年，按要求分阶段提交成果文件。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（二）项目人员配置要求：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配备具有注册会计师、注册内部审计师和注册风险管理确认师中至少两个证书且具备1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年或以上咨询服务工作经验的负责人1名，具有注册会计师或注册内部审计师证书之一且具备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年或以上咨询服务工作经验的项目经理1名，其他项目成员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具有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初级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会计师、审计师等及以上职称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且具备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3年或以上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</w:rPr>
        <w:t>咨询服务工作经验）至少2名。项目经理及其他项目成员（项目负责人除外）现场工作时间不少于3个月。</w:t>
      </w:r>
    </w:p>
    <w:sectPr>
      <w:footerReference r:id="rId3" w:type="default"/>
      <w:pgSz w:w="11906" w:h="16838"/>
      <w:pgMar w:top="1723" w:right="1800" w:bottom="172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7D065F6"/>
    <w:multiLevelType w:val="multilevel"/>
    <w:tmpl w:val="67D065F6"/>
    <w:lvl w:ilvl="0" w:tentative="0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mJjZDdlYTMwNTcxMjJmMDdlYzU2ZDlhNGE0NjgifQ=="/>
  </w:docVars>
  <w:rsids>
    <w:rsidRoot w:val="00E038EF"/>
    <w:rsid w:val="00105AD0"/>
    <w:rsid w:val="003F65FA"/>
    <w:rsid w:val="00511B66"/>
    <w:rsid w:val="00E038EF"/>
    <w:rsid w:val="00FE3042"/>
    <w:rsid w:val="01097EBC"/>
    <w:rsid w:val="527E45E2"/>
    <w:rsid w:val="61546E2A"/>
    <w:rsid w:val="665E5A04"/>
    <w:rsid w:val="678B21FE"/>
    <w:rsid w:val="6F9D09A5"/>
    <w:rsid w:val="757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Char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2006</Words>
  <Characters>2032</Characters>
  <Lines>16</Lines>
  <Paragraphs>4</Paragraphs>
  <TotalTime>2</TotalTime>
  <ScaleCrop>false</ScaleCrop>
  <LinksUpToDate>false</LinksUpToDate>
  <CharactersWithSpaces>2032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2020-11-24T13:28:00Z</dcterms:created>
  <dc:creator>hr</dc:creator>
  <cp:lastModifiedBy>秋永</cp:lastModifiedBy>
  <cp:lastPrinted>2022-12-01T09:39:00Z</cp:lastPrinted>
  <dcterms:modified xsi:type="dcterms:W3CDTF">2022-12-01T10:00:45Z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8802D3E972E648C9967641A3A5C5B2A4</vt:lpwstr>
  </property>
</Properties>
</file>